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44"/>
          <w:szCs w:val="44"/>
        </w:rPr>
      </w:pPr>
      <w:bookmarkStart w:id="0" w:name="_GoBack"/>
      <w:r>
        <w:rPr>
          <w:rFonts w:hint="eastAsia" w:ascii="仿宋_GB2312" w:hAnsi="仿宋_GB2312" w:eastAsia="仿宋_GB2312" w:cs="仿宋_GB2312"/>
          <w:b/>
          <w:bCs/>
          <w:i w:val="0"/>
          <w:iCs w:val="0"/>
          <w:caps w:val="0"/>
          <w:color w:val="333333"/>
          <w:spacing w:val="0"/>
          <w:sz w:val="44"/>
          <w:szCs w:val="44"/>
          <w:shd w:val="clear" w:fill="FFFFFF"/>
        </w:rPr>
        <w:t>关于改革完善中央财政科研经费管理的若干意见</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国办发〔2021〕32号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各省、自治区、直辖市人民政府，国务院各部委、各直属机构：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作出更大贡献，经国务院同意，现就改革完善中央财政科研经费管理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一、扩大科研项目经费管理自主权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简化预算编制。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项目管理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下放预算调剂权。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项目管理部门、项目承担单位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扩大经费包干制实施范围。在人才类和基础研究类科研项目中推行经费包干制，不再编制项目预算。项目负责人在承诺遵守科研伦理道德和作风学风诚信要求、经费全部用于与本项目研究工作相关支出的基础上，自主决定项目经费使用。鼓励有关部门和地方在从事基础性、前沿性、公益性研究的独立法人科研机构开展经费包干制试点。（项目管理部门、项目承担单位、财政部、单位主管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二、完善科研项目经费拨付机制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合理确定经费拨付计划。项目管理部门要根据不同类型科研项目特点、研究进度、资金需求等，合理制定经费拨付计划并及时拨付资金。首笔资金拨付比例要充分尊重项目负责人意见，切实保障科研活动需要。（项目管理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加快经费拨付进度。财政部、项目管理部门可在部门预算批复前预拨科研经费。项目管理部门要加强经费拨付与项目立项的衔接，在项目任务书签订后30日内，将经费拨付至项目承担单位。项目牵头单位要根据项目负责人意见，及时将经费拨付至项目参与单位。（财政部、项目管理部门、项目承担单位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改进结余资金管理。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项目管理部门、项目承担单位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三、加大科研人员激励力度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提高间接费用比例。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项目管理部门、项目承担单位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扩大稳定支持科研经费提取奖励经费试点范围。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引导机制，激发科研人员创新活力。奖励经费的使用范围和标准由试点单位自主决定，在单位内部公示。（中央级科研院所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扩大劳务费开支范围。项目聘用人员的劳务费开支标准，参照当地科学研究和技术服务业从业人员平均工资水平，根据其在项目研究中承担的工作任务确定，其由单位缴纳的社会保险补助、住房公积金等纳入劳务费科目列支。（项目承担单位、项目管理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合理核定绩效工资总量。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人力资源社会保障部、科技部、财政部、国务院国资委、单位主管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一）加大科技成果转化激励力度。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科技部、人力资源社会保障部、财政部等有关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四、减轻科研人员事务性负担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二）全面落实科研财务助理制度。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项目承担单位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三）改进财务报销管理方式。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项目承担单位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四）推进科研经费无纸化报销试点。选择部分电子票据接收、入账、归档处理工作量比较大的中央高校、科研院所、企业，纳入电子入账凭证会计数据标准推广范围，推动科研经费报销数字化、无纸化。（财政部、税务总局、单位主管部门等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五）简化科研项目验收结题财务管理。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科技部、财政部、项目管理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六）优化科研仪器设备采购。中央高校、科研院所、企业要优化和完善内部管理规定，简化科研仪器设备采购流程，对科研急需的设备和耗材采用特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单位主管部门、项目承担单位、司法部、财政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七）改进科研人员因公出国（境）管理方式。对科研人员因公出国（境）开展国际合作与交流的管理应与行政人员有所区别，对为完成科研项目任务目标、从科研经费中列支费用的国际合作与交流按业务类别单独管理，根据需要开展工作。从科研经费中列支的国际合作与交流费用不纳入“三公”经费统计范围，不受零增长要求限制。（单位主管部门、财政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五、创新财政科研经费投入与支持方式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八）拓展财政科研经费投入渠道。发挥财政经费的杠杆效应和导向作用，引导企业参与，发挥金融资金作用，吸引民间资本支持科技创新创业。优化科技创新类引导基金使用，推动更多具有重大价值的科技成果转化应用。拓宽基础研究经费投入渠道，促进基础研究与需求导向良性互动。（财政部、科技部、人民银行、银保监会、证监会等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九）开展顶尖领衔科学家支持方式试点。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项目管理部门、项目承担单位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十）支持新型研发机构实行“预算+负面清单”管理模式。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科技部、财政部负责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六、改进科研绩效管理和监督检查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十一）健全科研绩效管理机制。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项目管理部门、项目承担单位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十二）强化科研项目经费监督检查。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免予问责。（审计署、财政部、项目管理部门、单位主管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七、组织实施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十三）及时清理修改相关规定。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有关部门、项目承担单位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十四）加大政策宣传培训力度。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科技部、财政部会同有关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十五）强化政策落实督促指导。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财政部、科技部会同有关部门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财政部、中央级社科类科研项目主管部门要结合社会科学研究的规律和特点，参照本意见尽快修订中央级社科类科研项目资金管理办法。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各地区要参照本意见精神，结合实际，改革完善本地区财政科研经费管理。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国务院办公厅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2021年8月5日</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B3A77"/>
    <w:rsid w:val="3075197E"/>
    <w:rsid w:val="3B6B3A77"/>
    <w:rsid w:val="530C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2021-10-08T01:03:00Z</dcterms:created>
  <dc:creator>Administrator</dc:creator>
  <cp:lastModifiedBy>Administrator</cp:lastModifiedBy>
  <dcterms:modified xsi:type="dcterms:W3CDTF">2021-10-09T01:16:27Z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2709E2998EE84B118D673B624C85D80B</vt:lpwstr>
  </property>
</Properties>
</file>